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3E" w:rsidRPr="009C3CCE" w:rsidRDefault="00E56999" w:rsidP="00331356">
      <w:pPr>
        <w:pStyle w:val="Prrafodelista"/>
        <w:numPr>
          <w:ilvl w:val="0"/>
          <w:numId w:val="2"/>
        </w:numPr>
        <w:rPr>
          <w:rFonts w:cstheme="minorHAnsi"/>
          <w:b/>
          <w:sz w:val="20"/>
          <w:szCs w:val="20"/>
          <w:u w:val="single"/>
        </w:rPr>
      </w:pPr>
      <w:r w:rsidRPr="00E56999">
        <w:rPr>
          <w:rFonts w:cstheme="minorHAnsi"/>
          <w:b/>
          <w:sz w:val="20"/>
          <w:szCs w:val="20"/>
          <w:u w:val="single"/>
        </w:rPr>
        <w:t>P</w:t>
      </w:r>
      <w:r w:rsidRPr="009C3CCE">
        <w:rPr>
          <w:rFonts w:cstheme="minorHAnsi"/>
          <w:b/>
          <w:sz w:val="20"/>
          <w:szCs w:val="20"/>
          <w:u w:val="single"/>
        </w:rPr>
        <w:t>reguntas de audio</w:t>
      </w:r>
    </w:p>
    <w:p w:rsidR="00E56999" w:rsidRPr="00BA44C7" w:rsidRDefault="006065A7" w:rsidP="00E56999">
      <w:pPr>
        <w:pStyle w:val="Prrafodelista"/>
        <w:rPr>
          <w:rFonts w:cstheme="minorHAnsi"/>
          <w:b/>
          <w:sz w:val="22"/>
          <w:szCs w:val="20"/>
          <w:u w:val="single"/>
        </w:rPr>
      </w:pPr>
      <w:r w:rsidRPr="00BA44C7">
        <w:rPr>
          <w:rFonts w:cstheme="minorHAnsi"/>
          <w:b/>
          <w:sz w:val="22"/>
          <w:szCs w:val="20"/>
          <w:u w:val="single"/>
        </w:rPr>
        <w:t>PREGUNTA 1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E56999" w:rsidRPr="00AC2674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6065A7" w:rsidRPr="006065A7" w:rsidRDefault="00E56999" w:rsidP="007027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Indicadores</w:t>
            </w:r>
          </w:p>
        </w:tc>
      </w:tr>
      <w:tr w:rsidR="00E56999" w:rsidRPr="00AC2674" w:rsidTr="007027BA">
        <w:trPr>
          <w:trHeight w:val="372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sz w:val="20"/>
                <w:szCs w:val="20"/>
              </w:rPr>
              <w:t>Defina o explique en que consiste el procedimiento de evaluación y la importancia que tiene dentro de una planificación. Describa dos mecanismos o instrumentos de evaluación que más se utilizan.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</w:rPr>
              <w:t>Realiza una definición atingente respecto al mecanismo de evaluación y su importancia.</w:t>
            </w:r>
          </w:p>
        </w:tc>
      </w:tr>
      <w:tr w:rsidR="00E56999" w:rsidRPr="00AC2674" w:rsidTr="007027BA">
        <w:trPr>
          <w:trHeight w:val="278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  <w:lang w:val="es-CL"/>
              </w:rPr>
              <w:t>Entrega la descripción de dos instrumentos de evaluación formal que se pueden realizar dentro de una planificación.</w:t>
            </w:r>
          </w:p>
        </w:tc>
      </w:tr>
      <w:tr w:rsidR="00E56999" w:rsidRPr="00AC2674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  <w:lang w:val="es-CL"/>
              </w:rPr>
              <w:t>La descripción de los instrumentos descritos es pertinente a lo solicitado.</w:t>
            </w:r>
          </w:p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</w:tbl>
    <w:p w:rsidR="00B65B0A" w:rsidRPr="00BA44C7" w:rsidRDefault="00B65B0A" w:rsidP="00E56999">
      <w:pPr>
        <w:rPr>
          <w:rFonts w:cstheme="minorHAnsi"/>
          <w:b/>
          <w:sz w:val="22"/>
          <w:szCs w:val="20"/>
          <w:u w:val="single"/>
        </w:rPr>
      </w:pPr>
    </w:p>
    <w:p w:rsidR="00B65B0A" w:rsidRPr="00BA44C7" w:rsidRDefault="006065A7" w:rsidP="00E56999">
      <w:pPr>
        <w:rPr>
          <w:rFonts w:cstheme="minorHAnsi"/>
          <w:b/>
          <w:sz w:val="22"/>
          <w:szCs w:val="20"/>
          <w:u w:val="single"/>
        </w:rPr>
      </w:pPr>
      <w:r w:rsidRPr="00BA44C7">
        <w:rPr>
          <w:rFonts w:cstheme="minorHAnsi"/>
          <w:b/>
          <w:sz w:val="22"/>
          <w:szCs w:val="20"/>
          <w:u w:val="single"/>
        </w:rPr>
        <w:t xml:space="preserve">PREGUNTA 2 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E56999" w:rsidRPr="00AC2674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Indicadores</w:t>
            </w:r>
          </w:p>
        </w:tc>
      </w:tr>
      <w:tr w:rsidR="00E56999" w:rsidRPr="00AC2674" w:rsidTr="007027BA">
        <w:trPr>
          <w:trHeight w:val="826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999" w:rsidRDefault="00E56999" w:rsidP="007027BA">
            <w:pPr>
              <w:pStyle w:val="TableParagraph"/>
              <w:spacing w:before="2"/>
              <w:ind w:right="119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En base al siguiente objetivo específico, propon</w:t>
            </w:r>
            <w:r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ga 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una actividad, con sus indicadores de evaluación, de manera que </w:t>
            </w:r>
            <w:r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dé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cumpl</w:t>
            </w:r>
            <w:r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imiento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a dicho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objetivo. </w:t>
            </w:r>
          </w:p>
          <w:p w:rsidR="00E56999" w:rsidRPr="00AC2674" w:rsidRDefault="00E56999" w:rsidP="007027BA">
            <w:pPr>
              <w:pStyle w:val="TableParagraph"/>
              <w:spacing w:before="2"/>
              <w:ind w:right="119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F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undament</w:t>
            </w:r>
            <w:r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e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su propuesta considerando </w:t>
            </w:r>
            <w:r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el abordaje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de las funciones cognitivas a trabajar.</w:t>
            </w:r>
          </w:p>
          <w:p w:rsidR="00E56999" w:rsidRPr="00AC2674" w:rsidRDefault="00E56999" w:rsidP="007027BA">
            <w:pPr>
              <w:pStyle w:val="TableParagraph"/>
              <w:spacing w:before="2"/>
              <w:ind w:right="119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 w:rsidRPr="00AC2674">
              <w:rPr>
                <w:rFonts w:asciiTheme="minorHAnsi" w:hAnsiTheme="minorHAnsi" w:cstheme="minorHAnsi"/>
                <w:b/>
                <w:color w:val="1F1F1E"/>
                <w:sz w:val="20"/>
                <w:szCs w:val="20"/>
              </w:rPr>
              <w:t>Objetivo: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</w:t>
            </w:r>
            <w:r w:rsidRPr="003528A2">
              <w:rPr>
                <w:rFonts w:asciiTheme="minorHAnsi" w:hAnsiTheme="minorHAnsi" w:cstheme="minorHAnsi"/>
                <w:i/>
                <w:iCs/>
                <w:color w:val="1F1F1E"/>
                <w:sz w:val="20"/>
                <w:szCs w:val="20"/>
              </w:rPr>
              <w:t>Clasificar</w:t>
            </w:r>
            <w:r w:rsidRPr="0035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diferentes estímulos visuales y concretos, a través de actividades lúdicas,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para </w:t>
            </w:r>
            <w:r w:rsidRPr="0035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potenciar la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35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atención y percepción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de los estudiantes</w:t>
            </w:r>
            <w:r w:rsidRPr="003528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6999" w:rsidRDefault="00E56999" w:rsidP="007027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Propone y f</w:t>
            </w:r>
            <w:r w:rsidRPr="00AC2674">
              <w:rPr>
                <w:rFonts w:cstheme="minorHAnsi"/>
                <w:sz w:val="20"/>
                <w:szCs w:val="20"/>
              </w:rPr>
              <w:t>undamenta su propuesta de actividad, explicando de qué forma se abordarán las funciones cognitivas planteadas en el objetivo.</w:t>
            </w:r>
          </w:p>
          <w:p w:rsidR="00B65B0A" w:rsidRDefault="00B65B0A" w:rsidP="007027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QUE QUEDE CLARO COMO SE DA RESPUESTA AAL OBJETIVO </w:t>
            </w:r>
          </w:p>
          <w:p w:rsidR="00B65B0A" w:rsidRDefault="00B65B0A" w:rsidP="007027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NECESARIAMENTE INICIO DESARROLLO CIERRE</w:t>
            </w:r>
          </w:p>
          <w:p w:rsidR="00B65B0A" w:rsidRPr="00AC2674" w:rsidRDefault="00B65B0A" w:rsidP="007027BA">
            <w:pPr>
              <w:rPr>
                <w:rFonts w:cstheme="minorHAnsi"/>
                <w:sz w:val="20"/>
                <w:szCs w:val="20"/>
                <w:lang w:val="es-CL"/>
              </w:rPr>
            </w:pPr>
            <w:r>
              <w:rPr>
                <w:rFonts w:cstheme="minorHAnsi"/>
                <w:sz w:val="20"/>
                <w:szCs w:val="20"/>
              </w:rPr>
              <w:t>COMO LA EDUCADORA JECUTAYT43G</w:t>
            </w:r>
          </w:p>
        </w:tc>
      </w:tr>
      <w:tr w:rsidR="00E56999" w:rsidRPr="00AC2674" w:rsidTr="007027BA">
        <w:trPr>
          <w:trHeight w:val="810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  <w:lang w:val="es-CL"/>
              </w:rPr>
            </w:pPr>
            <w:r>
              <w:rPr>
                <w:rFonts w:cstheme="minorHAnsi"/>
                <w:sz w:val="20"/>
                <w:szCs w:val="20"/>
              </w:rPr>
              <w:t xml:space="preserve">Presenta </w:t>
            </w:r>
            <w:r w:rsidRPr="00AC2674">
              <w:rPr>
                <w:rFonts w:cstheme="minorHAnsi"/>
                <w:sz w:val="20"/>
                <w:szCs w:val="20"/>
              </w:rPr>
              <w:t>indicadores de evaluación</w:t>
            </w:r>
            <w:r>
              <w:rPr>
                <w:rFonts w:cstheme="minorHAnsi"/>
                <w:sz w:val="20"/>
                <w:szCs w:val="20"/>
              </w:rPr>
              <w:t xml:space="preserve"> coherentes con el objetivo planteado.</w:t>
            </w:r>
          </w:p>
        </w:tc>
      </w:tr>
      <w:tr w:rsidR="00E56999" w:rsidRPr="00AC2674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56999" w:rsidRPr="00AC2674" w:rsidRDefault="00E56999" w:rsidP="007027BA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</w:rPr>
              <w:t>La respuesta elaborada es atingente y coherente respecto al contenido solicitado.</w:t>
            </w:r>
          </w:p>
        </w:tc>
      </w:tr>
    </w:tbl>
    <w:p w:rsidR="00E21625" w:rsidRDefault="00E21625" w:rsidP="00C75DAE">
      <w:pPr>
        <w:rPr>
          <w:rFonts w:cstheme="minorHAnsi"/>
          <w:sz w:val="20"/>
          <w:szCs w:val="20"/>
        </w:rPr>
      </w:pPr>
    </w:p>
    <w:p w:rsidR="00E56999" w:rsidRPr="00E56999" w:rsidRDefault="00E56999" w:rsidP="00E56999">
      <w:pPr>
        <w:pStyle w:val="Prrafodelista"/>
        <w:numPr>
          <w:ilvl w:val="0"/>
          <w:numId w:val="1"/>
        </w:numPr>
        <w:rPr>
          <w:rFonts w:cstheme="minorHAnsi"/>
          <w:b/>
          <w:sz w:val="20"/>
          <w:szCs w:val="20"/>
          <w:u w:val="single"/>
        </w:rPr>
      </w:pPr>
      <w:r w:rsidRPr="00E56999">
        <w:rPr>
          <w:rFonts w:cstheme="minorHAnsi"/>
          <w:b/>
          <w:sz w:val="20"/>
          <w:szCs w:val="20"/>
          <w:u w:val="single"/>
        </w:rPr>
        <w:t>Preguntas cuestionario</w:t>
      </w:r>
    </w:p>
    <w:p w:rsidR="003C10EC" w:rsidRPr="00AC2674" w:rsidRDefault="003C10EC" w:rsidP="00C75DAE">
      <w:pPr>
        <w:rPr>
          <w:rFonts w:cstheme="minorHAnsi"/>
          <w:sz w:val="20"/>
          <w:szCs w:val="20"/>
        </w:rPr>
      </w:pPr>
    </w:p>
    <w:p w:rsidR="003C10EC" w:rsidRPr="00BA44C7" w:rsidRDefault="006065A7" w:rsidP="00C75DAE">
      <w:pPr>
        <w:rPr>
          <w:rFonts w:cstheme="minorHAnsi"/>
          <w:b/>
          <w:sz w:val="22"/>
          <w:szCs w:val="20"/>
          <w:u w:val="single"/>
        </w:rPr>
      </w:pPr>
      <w:r w:rsidRPr="00BA44C7">
        <w:rPr>
          <w:rFonts w:cstheme="minorHAnsi"/>
          <w:b/>
          <w:sz w:val="22"/>
          <w:szCs w:val="20"/>
          <w:u w:val="single"/>
        </w:rPr>
        <w:t xml:space="preserve">PREGUNTA 3 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3C10EC" w:rsidRPr="00AC2674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C10EC" w:rsidRPr="00AC2674" w:rsidRDefault="003C10EC" w:rsidP="00C75DAE">
            <w:pPr>
              <w:spacing w:before="100" w:beforeAutospacing="1"/>
              <w:ind w:left="237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C10EC" w:rsidRPr="00AC2674" w:rsidRDefault="003C10EC" w:rsidP="00C75DAE">
            <w:pPr>
              <w:spacing w:before="100" w:beforeAutospacing="1"/>
              <w:ind w:left="2380" w:right="2367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color w:val="1F1F1E"/>
                <w:sz w:val="20"/>
                <w:szCs w:val="20"/>
              </w:rPr>
              <w:t>Indicadores</w:t>
            </w:r>
          </w:p>
        </w:tc>
      </w:tr>
      <w:tr w:rsidR="003C10EC" w:rsidRPr="00AC2674" w:rsidTr="007027BA">
        <w:trPr>
          <w:trHeight w:val="372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10EC" w:rsidRPr="00AC2674" w:rsidRDefault="00617513" w:rsidP="00B029BB">
            <w:pPr>
              <w:spacing w:before="100" w:beforeAutospacing="1"/>
              <w:ind w:left="107" w:right="379"/>
              <w:rPr>
                <w:rFonts w:cstheme="minorHAnsi"/>
                <w:color w:val="222222"/>
                <w:sz w:val="20"/>
                <w:szCs w:val="20"/>
              </w:rPr>
            </w:pPr>
            <w:r>
              <w:rPr>
                <w:rFonts w:cstheme="minorHAnsi"/>
                <w:color w:val="1F1F1E"/>
                <w:sz w:val="20"/>
                <w:szCs w:val="20"/>
              </w:rPr>
              <w:t>Defina</w:t>
            </w:r>
            <w:r w:rsidR="003C10EC" w:rsidRPr="00AC2674">
              <w:rPr>
                <w:rFonts w:cstheme="minorHAnsi"/>
                <w:color w:val="1F1F1E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1F1F1E"/>
                <w:sz w:val="20"/>
                <w:szCs w:val="20"/>
              </w:rPr>
              <w:t>Plan General y Plan Específico como instrumentos centrales para la</w:t>
            </w:r>
            <w:r w:rsidR="003C10EC" w:rsidRPr="00AC2674">
              <w:rPr>
                <w:rFonts w:cstheme="minorHAnsi"/>
                <w:color w:val="1F1F1E"/>
                <w:sz w:val="20"/>
                <w:szCs w:val="20"/>
              </w:rPr>
              <w:t xml:space="preserve"> atención </w:t>
            </w:r>
            <w:r>
              <w:rPr>
                <w:rFonts w:cstheme="minorHAnsi"/>
                <w:color w:val="1F1F1E"/>
                <w:sz w:val="20"/>
                <w:szCs w:val="20"/>
              </w:rPr>
              <w:t xml:space="preserve">pedagógica </w:t>
            </w:r>
            <w:r w:rsidR="003C10EC" w:rsidRPr="00AC2674">
              <w:rPr>
                <w:rFonts w:cstheme="minorHAnsi"/>
                <w:color w:val="1F1F1E"/>
                <w:sz w:val="20"/>
                <w:szCs w:val="20"/>
              </w:rPr>
              <w:t xml:space="preserve">a las necesidades en el desarrollo del lenguaje de niñas/os que pertenecen a las Escuelas de Lenguaje. Elabore además un esquema que </w:t>
            </w:r>
            <w:r>
              <w:rPr>
                <w:rFonts w:cstheme="minorHAnsi"/>
                <w:color w:val="1F1F1E"/>
                <w:sz w:val="20"/>
                <w:szCs w:val="20"/>
              </w:rPr>
              <w:t>explique</w:t>
            </w:r>
            <w:r w:rsidR="003C10EC" w:rsidRPr="00AC2674">
              <w:rPr>
                <w:rFonts w:cstheme="minorHAnsi"/>
                <w:color w:val="1F1F1E"/>
                <w:sz w:val="20"/>
                <w:szCs w:val="20"/>
              </w:rPr>
              <w:t xml:space="preserve"> los componentes de cada uno de ellos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10EC" w:rsidRPr="00AC2674" w:rsidRDefault="00617513" w:rsidP="00617513">
            <w:pPr>
              <w:spacing w:before="100" w:before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Define</w:t>
            </w:r>
            <w:r w:rsidR="003C10EC" w:rsidRPr="00AC2674">
              <w:rPr>
                <w:rFonts w:cstheme="minorHAnsi"/>
                <w:sz w:val="20"/>
                <w:szCs w:val="20"/>
              </w:rPr>
              <w:t xml:space="preserve"> Plan General y Plan Específico como instrumentos centrales en la atención de niñas/os con Trastorno Específico del Lenguaje.</w:t>
            </w:r>
          </w:p>
        </w:tc>
      </w:tr>
      <w:tr w:rsidR="003C10EC" w:rsidRPr="00AC2674" w:rsidTr="007027BA">
        <w:trPr>
          <w:trHeight w:val="278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10EC" w:rsidRPr="00AC2674" w:rsidRDefault="003C10EC" w:rsidP="00C75DAE">
            <w:pPr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10EC" w:rsidRPr="00AC2674" w:rsidRDefault="003C10EC" w:rsidP="00617513">
            <w:pPr>
              <w:spacing w:before="100" w:before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sz w:val="20"/>
                <w:szCs w:val="20"/>
              </w:rPr>
              <w:t xml:space="preserve">Elabora un esquema que </w:t>
            </w:r>
            <w:r w:rsidR="00617513">
              <w:rPr>
                <w:rFonts w:cstheme="minorHAnsi"/>
                <w:sz w:val="20"/>
                <w:szCs w:val="20"/>
              </w:rPr>
              <w:t>explica</w:t>
            </w:r>
            <w:r w:rsidRPr="00AC2674">
              <w:rPr>
                <w:rFonts w:cstheme="minorHAnsi"/>
                <w:sz w:val="20"/>
                <w:szCs w:val="20"/>
              </w:rPr>
              <w:t xml:space="preserve"> los componentes de cada uno de estos instrumentos de atención.</w:t>
            </w:r>
          </w:p>
        </w:tc>
      </w:tr>
      <w:tr w:rsidR="003C10EC" w:rsidRPr="00AC2674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10EC" w:rsidRPr="00AC2674" w:rsidRDefault="003C10EC" w:rsidP="00C75DAE">
            <w:pPr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10EC" w:rsidRPr="00AC2674" w:rsidRDefault="003C10EC" w:rsidP="00C75DAE">
            <w:pPr>
              <w:spacing w:before="100" w:beforeAutospacing="1" w:after="100" w:after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sz w:val="20"/>
                <w:szCs w:val="20"/>
              </w:rPr>
              <w:t>La respuesta elaborada es atingente y coherente respecto al contenido solicitado.</w:t>
            </w:r>
          </w:p>
        </w:tc>
      </w:tr>
    </w:tbl>
    <w:p w:rsidR="003C10EC" w:rsidRDefault="003C10EC" w:rsidP="00C75DAE">
      <w:pPr>
        <w:rPr>
          <w:rFonts w:cstheme="minorHAnsi"/>
          <w:sz w:val="20"/>
          <w:szCs w:val="20"/>
        </w:rPr>
      </w:pPr>
    </w:p>
    <w:p w:rsidR="00476EC0" w:rsidRDefault="00476EC0" w:rsidP="00C75DAE">
      <w:pPr>
        <w:rPr>
          <w:rFonts w:cstheme="minorHAnsi"/>
          <w:sz w:val="20"/>
          <w:szCs w:val="20"/>
        </w:rPr>
      </w:pPr>
    </w:p>
    <w:p w:rsidR="00476EC0" w:rsidRDefault="00476EC0" w:rsidP="00C75DAE">
      <w:pPr>
        <w:rPr>
          <w:rFonts w:cstheme="minorHAnsi"/>
          <w:sz w:val="20"/>
          <w:szCs w:val="20"/>
        </w:rPr>
      </w:pPr>
    </w:p>
    <w:p w:rsidR="00476EC0" w:rsidRPr="006065A7" w:rsidRDefault="006065A7" w:rsidP="00C75DAE">
      <w:pPr>
        <w:rPr>
          <w:rFonts w:cstheme="minorHAnsi"/>
          <w:b/>
          <w:sz w:val="20"/>
          <w:szCs w:val="20"/>
          <w:u w:val="single"/>
        </w:rPr>
      </w:pPr>
      <w:r w:rsidRPr="006065A7">
        <w:rPr>
          <w:rFonts w:cstheme="minorHAnsi"/>
          <w:b/>
          <w:sz w:val="20"/>
          <w:szCs w:val="20"/>
          <w:u w:val="single"/>
        </w:rPr>
        <w:t>PREGUNTA 4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3C10EC" w:rsidRPr="00AC2674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C10EC" w:rsidRPr="00AC2674" w:rsidRDefault="003C10EC" w:rsidP="00C75DAE">
            <w:pPr>
              <w:spacing w:before="100" w:beforeAutospacing="1"/>
              <w:ind w:left="237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3C10EC" w:rsidRPr="00AC2674" w:rsidRDefault="003C10EC" w:rsidP="00C75DAE">
            <w:pPr>
              <w:spacing w:before="100" w:beforeAutospacing="1"/>
              <w:ind w:left="2380" w:right="2367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color w:val="1F1F1E"/>
                <w:sz w:val="20"/>
                <w:szCs w:val="20"/>
              </w:rPr>
              <w:t>Indicadores</w:t>
            </w:r>
          </w:p>
        </w:tc>
      </w:tr>
      <w:tr w:rsidR="00233A25" w:rsidRPr="00AC2674" w:rsidTr="00E44B29">
        <w:trPr>
          <w:trHeight w:val="1353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3A25" w:rsidRPr="00AC2674" w:rsidRDefault="00233A25" w:rsidP="00C75DAE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sz w:val="20"/>
                <w:szCs w:val="20"/>
              </w:rPr>
              <w:t>Pablo cursa segundo nivel de transición</w:t>
            </w:r>
            <w:r w:rsidR="0065241B">
              <w:rPr>
                <w:rFonts w:cstheme="minorHAnsi"/>
                <w:sz w:val="20"/>
                <w:szCs w:val="20"/>
              </w:rPr>
              <w:t xml:space="preserve"> por la existencia de un diagnóstico de TEL Mixto</w:t>
            </w:r>
            <w:r w:rsidRPr="00AC2674">
              <w:rPr>
                <w:rFonts w:cstheme="minorHAnsi"/>
                <w:sz w:val="20"/>
                <w:szCs w:val="20"/>
              </w:rPr>
              <w:t>.</w:t>
            </w:r>
            <w:r w:rsidR="0065241B">
              <w:rPr>
                <w:rFonts w:cstheme="minorHAnsi"/>
                <w:sz w:val="20"/>
                <w:szCs w:val="20"/>
              </w:rPr>
              <w:t xml:space="preserve"> </w:t>
            </w:r>
            <w:r w:rsidRPr="00AC2674">
              <w:rPr>
                <w:rFonts w:cstheme="minorHAnsi"/>
                <w:sz w:val="20"/>
                <w:szCs w:val="20"/>
              </w:rPr>
              <w:t>E</w:t>
            </w:r>
            <w:r w:rsidR="0065241B">
              <w:rPr>
                <w:rFonts w:cstheme="minorHAnsi"/>
                <w:sz w:val="20"/>
                <w:szCs w:val="20"/>
              </w:rPr>
              <w:t>n su escuela, e</w:t>
            </w:r>
            <w:r w:rsidRPr="00AC2674">
              <w:rPr>
                <w:rFonts w:cstheme="minorHAnsi"/>
                <w:sz w:val="20"/>
                <w:szCs w:val="20"/>
              </w:rPr>
              <w:t>stablece relaciones significativas con sus pares</w:t>
            </w:r>
            <w:r w:rsidR="0065241B">
              <w:rPr>
                <w:rFonts w:cstheme="minorHAnsi"/>
                <w:sz w:val="20"/>
                <w:szCs w:val="20"/>
              </w:rPr>
              <w:t>, sin embargo,</w:t>
            </w:r>
            <w:r w:rsidRPr="00AC2674">
              <w:rPr>
                <w:rFonts w:cstheme="minorHAnsi"/>
                <w:sz w:val="20"/>
                <w:szCs w:val="20"/>
              </w:rPr>
              <w:t xml:space="preserve"> no logra respetar turno en el juego y se destaca su baja tolerancia a la frustración.</w:t>
            </w:r>
            <w:r w:rsidR="0065241B">
              <w:rPr>
                <w:rFonts w:cstheme="minorHAnsi"/>
                <w:sz w:val="20"/>
                <w:szCs w:val="20"/>
              </w:rPr>
              <w:t xml:space="preserve"> </w:t>
            </w:r>
            <w:r w:rsidRPr="00AC2674">
              <w:rPr>
                <w:rFonts w:cstheme="minorHAnsi"/>
                <w:sz w:val="20"/>
                <w:szCs w:val="20"/>
              </w:rPr>
              <w:t>Durante las clases, se evidenci</w:t>
            </w:r>
            <w:r w:rsidR="0065241B">
              <w:rPr>
                <w:rFonts w:cstheme="minorHAnsi"/>
                <w:sz w:val="20"/>
                <w:szCs w:val="20"/>
              </w:rPr>
              <w:t>a</w:t>
            </w:r>
            <w:r w:rsidRPr="00AC2674">
              <w:rPr>
                <w:rFonts w:cstheme="minorHAnsi"/>
                <w:sz w:val="20"/>
                <w:szCs w:val="20"/>
              </w:rPr>
              <w:t xml:space="preserve"> fatiga y labilidad en su atención y concentración que lo lleva a responder de forma impulsiva y sin mediar la respuesta adecuada. </w:t>
            </w:r>
            <w:r w:rsidR="0065241B">
              <w:rPr>
                <w:rFonts w:cstheme="minorHAnsi"/>
                <w:sz w:val="20"/>
                <w:szCs w:val="20"/>
              </w:rPr>
              <w:t>E</w:t>
            </w:r>
            <w:r w:rsidRPr="00AC2674">
              <w:rPr>
                <w:rFonts w:cstheme="minorHAnsi"/>
                <w:sz w:val="20"/>
                <w:szCs w:val="20"/>
              </w:rPr>
              <w:t>s necesaria la constante instigación física y verbal por parte de la educadora para que realice su trabajo. Pablo suele cambiar tópicos de conversación o habla</w:t>
            </w:r>
            <w:r w:rsidR="0065241B">
              <w:rPr>
                <w:rFonts w:cstheme="minorHAnsi"/>
                <w:sz w:val="20"/>
                <w:szCs w:val="20"/>
              </w:rPr>
              <w:t>r</w:t>
            </w:r>
            <w:r w:rsidRPr="00AC2674">
              <w:rPr>
                <w:rFonts w:cstheme="minorHAnsi"/>
                <w:sz w:val="20"/>
                <w:szCs w:val="20"/>
              </w:rPr>
              <w:t xml:space="preserve"> mientras se le entrega un</w:t>
            </w:r>
            <w:r w:rsidR="0065241B">
              <w:rPr>
                <w:rFonts w:cstheme="minorHAnsi"/>
                <w:sz w:val="20"/>
                <w:szCs w:val="20"/>
              </w:rPr>
              <w:t>a</w:t>
            </w:r>
            <w:r w:rsidRPr="00AC2674">
              <w:rPr>
                <w:rFonts w:cstheme="minorHAnsi"/>
                <w:sz w:val="20"/>
                <w:szCs w:val="20"/>
              </w:rPr>
              <w:t xml:space="preserve"> instrucción, </w:t>
            </w:r>
            <w:r w:rsidR="0065241B">
              <w:rPr>
                <w:rFonts w:cstheme="minorHAnsi"/>
                <w:sz w:val="20"/>
                <w:szCs w:val="20"/>
              </w:rPr>
              <w:t>siendo necesario repetir las</w:t>
            </w:r>
            <w:r w:rsidRPr="00AC2674">
              <w:rPr>
                <w:rFonts w:cstheme="minorHAnsi"/>
                <w:sz w:val="20"/>
                <w:szCs w:val="20"/>
              </w:rPr>
              <w:t xml:space="preserve"> instrucciones por más de dos veces.</w:t>
            </w:r>
          </w:p>
          <w:p w:rsidR="00233A25" w:rsidRPr="00AC2674" w:rsidRDefault="00233A25" w:rsidP="00C75DAE">
            <w:pPr>
              <w:pStyle w:val="TableParagraph"/>
              <w:spacing w:before="2"/>
              <w:ind w:right="119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 xml:space="preserve">A partir del caso </w:t>
            </w:r>
            <w:r w:rsidR="0065241B">
              <w:rPr>
                <w:rFonts w:asciiTheme="minorHAnsi" w:hAnsiTheme="minorHAnsi" w:cstheme="minorHAnsi"/>
                <w:sz w:val="20"/>
                <w:szCs w:val="20"/>
              </w:rPr>
              <w:t>explique</w:t>
            </w: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 xml:space="preserve"> y argumente teóricamente las funciones cognitivas que se debiesen intervenir y elabore dos estrategias para estimular</w:t>
            </w:r>
            <w:r w:rsidR="0065241B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233A25" w:rsidP="00E44B29">
            <w:pPr>
              <w:spacing w:before="100" w:before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sz w:val="20"/>
                <w:szCs w:val="20"/>
              </w:rPr>
              <w:t>Determina y argumenta con apoyo bibliográfico, funciones cognitivas que se deben estimular a partir del caso</w:t>
            </w:r>
          </w:p>
        </w:tc>
      </w:tr>
      <w:tr w:rsidR="00233A25" w:rsidRPr="00AC2674" w:rsidTr="00E44B29">
        <w:trPr>
          <w:trHeight w:val="1543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233A25" w:rsidP="00C75DAE">
            <w:pPr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233A25" w:rsidP="00E44B29">
            <w:pPr>
              <w:spacing w:before="100" w:before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sz w:val="20"/>
                <w:szCs w:val="20"/>
              </w:rPr>
              <w:t>Elabora dos estrategias de intervención para las funciones cognitivas determinadas en el caso.</w:t>
            </w:r>
          </w:p>
        </w:tc>
      </w:tr>
      <w:tr w:rsidR="00233A25" w:rsidRPr="00AC2674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233A25" w:rsidP="00C75DAE">
            <w:pPr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233A25" w:rsidP="00C75DAE">
            <w:pPr>
              <w:spacing w:before="100" w:beforeAutospacing="1" w:after="100" w:after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sz w:val="20"/>
                <w:szCs w:val="20"/>
              </w:rPr>
              <w:t>La respuesta elaborada es atingente y coherente respecto al contenido solicitado.</w:t>
            </w:r>
          </w:p>
        </w:tc>
      </w:tr>
    </w:tbl>
    <w:p w:rsidR="00AC75A7" w:rsidRDefault="00AC75A7" w:rsidP="00C75DAE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AC75A7" w:rsidRPr="006065A7" w:rsidRDefault="006065A7" w:rsidP="00C75DAE">
      <w:pPr>
        <w:rPr>
          <w:rFonts w:cstheme="minorHAnsi"/>
          <w:b/>
          <w:sz w:val="20"/>
          <w:szCs w:val="20"/>
          <w:u w:val="single"/>
        </w:rPr>
      </w:pPr>
      <w:r w:rsidRPr="006065A7">
        <w:rPr>
          <w:rFonts w:cstheme="minorHAnsi"/>
          <w:b/>
          <w:sz w:val="20"/>
          <w:szCs w:val="20"/>
          <w:u w:val="single"/>
        </w:rPr>
        <w:t xml:space="preserve">PREGUNTA 5 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233A25" w:rsidRPr="00AC2674" w:rsidTr="003C05C6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33A25" w:rsidRPr="00AC2674" w:rsidRDefault="00233A25" w:rsidP="00C75DAE">
            <w:pPr>
              <w:spacing w:before="100" w:beforeAutospacing="1"/>
              <w:ind w:left="237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33A25" w:rsidRPr="00AC2674" w:rsidRDefault="00233A25" w:rsidP="00C75DAE">
            <w:pPr>
              <w:spacing w:before="100" w:beforeAutospacing="1"/>
              <w:ind w:left="2380" w:right="2367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color w:val="1F1F1E"/>
                <w:sz w:val="20"/>
                <w:szCs w:val="20"/>
              </w:rPr>
              <w:t>Indicadores</w:t>
            </w:r>
          </w:p>
        </w:tc>
      </w:tr>
      <w:tr w:rsidR="00233A25" w:rsidRPr="00AC2674" w:rsidTr="003C05C6">
        <w:trPr>
          <w:trHeight w:val="372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33A25" w:rsidRPr="00AC2674" w:rsidRDefault="001632FF" w:rsidP="003C05C6">
            <w:pPr>
              <w:pStyle w:val="TableParagraph"/>
              <w:spacing w:before="2"/>
              <w:ind w:right="403"/>
              <w:jc w:val="both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C</w:t>
            </w:r>
            <w:r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aracterice una síntesis</w:t>
            </w:r>
            <w:r w:rsidR="0051099D"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 xml:space="preserve"> </w:t>
            </w:r>
            <w:r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d</w:t>
            </w:r>
            <w:r w:rsidR="0051099D"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 xml:space="preserve">el </w:t>
            </w:r>
            <w:r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D</w:t>
            </w:r>
            <w:r w:rsidR="0051099D"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 xml:space="preserve">ecreto N°170, mencionando aquellas acciones que </w:t>
            </w:r>
            <w:r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é</w:t>
            </w:r>
            <w:r w:rsidR="0051099D"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st</w:t>
            </w:r>
            <w:r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e</w:t>
            </w:r>
            <w:r w:rsidR="0051099D"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 xml:space="preserve"> reglamenta, luego explique a través de un ejemplo, c</w:t>
            </w:r>
            <w:r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ó</w:t>
            </w:r>
            <w:r w:rsidR="0051099D" w:rsidRPr="003C05C6">
              <w:rPr>
                <w:rFonts w:asciiTheme="minorHAnsi" w:eastAsia="Times New Roman" w:hAnsiTheme="minorHAnsi" w:cstheme="minorHAnsi"/>
                <w:color w:val="1F1F1E"/>
                <w:sz w:val="20"/>
                <w:szCs w:val="20"/>
                <w:lang w:val="es-CL" w:eastAsia="en-GB"/>
              </w:rPr>
              <w:t>mo se lleva a cabo esta normativa en la modalidad de educación especial de su asignatura.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1632FF" w:rsidP="001632FF">
            <w:pPr>
              <w:spacing w:before="100" w:before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Caracteriza</w:t>
            </w:r>
            <w:r w:rsidR="0051099D"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 adecuadamente el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D</w:t>
            </w:r>
            <w:r w:rsidR="0051099D"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°170. (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Como </w:t>
            </w:r>
            <w:r w:rsidR="0051099D"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reglamento de la Ley Nº 20201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que</w:t>
            </w:r>
            <w:r w:rsidR="0051099D"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 fija normas para determinar los alumnos con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N</w:t>
            </w:r>
            <w:r w:rsidR="0051099D"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ecesidades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E</w:t>
            </w:r>
            <w:r w:rsidR="0051099D"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ducativas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E</w:t>
            </w:r>
            <w:r w:rsidR="0051099D"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speciales que serán beneficiarios de la subvención para educación especial.)</w:t>
            </w:r>
          </w:p>
        </w:tc>
      </w:tr>
      <w:tr w:rsidR="00233A25" w:rsidRPr="00AC2674" w:rsidTr="003C05C6">
        <w:trPr>
          <w:trHeight w:val="278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233A25" w:rsidP="00C75DAE">
            <w:pPr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51099D" w:rsidP="001632FF">
            <w:pPr>
              <w:spacing w:before="100" w:before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Indica las acciones que reglamenta este decreto (evaluación diagnostica integral, requisitos, instrumentos de evaluación, pruebas diagnósticas, perfil de los y las profesionales competentes)</w:t>
            </w:r>
          </w:p>
        </w:tc>
      </w:tr>
      <w:tr w:rsidR="00233A25" w:rsidRPr="00AC2674" w:rsidTr="003C05C6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233A25" w:rsidP="00C75DAE">
            <w:pPr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3A25" w:rsidRPr="00AC2674" w:rsidRDefault="0051099D" w:rsidP="00C75DAE">
            <w:pPr>
              <w:spacing w:before="100" w:beforeAutospacing="1" w:after="100" w:afterAutospacing="1"/>
              <w:ind w:right="123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Menciona a través de un ejemplo, </w:t>
            </w:r>
            <w:r w:rsidR="00C61075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l</w:t>
            </w: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a evidencia del uso de este decreto en alguna de las modalidades de educación especial (Ejemplo: En la escuela especial de lenguaje durante la evaluación diagnóstica integral, participan: fonoaudiólogo, profesor diferencial y médico pediatra.</w:t>
            </w:r>
            <w:r w:rsidR="00C61075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)</w:t>
            </w:r>
          </w:p>
        </w:tc>
      </w:tr>
    </w:tbl>
    <w:p w:rsidR="00233A25" w:rsidRDefault="00233A25" w:rsidP="00C75DAE">
      <w:pPr>
        <w:rPr>
          <w:rFonts w:cstheme="minorHAnsi"/>
          <w:sz w:val="20"/>
          <w:szCs w:val="20"/>
        </w:rPr>
      </w:pPr>
    </w:p>
    <w:p w:rsidR="00B44051" w:rsidRDefault="00B44051" w:rsidP="00C75DAE">
      <w:pPr>
        <w:rPr>
          <w:rFonts w:cstheme="minorHAnsi"/>
          <w:sz w:val="20"/>
          <w:szCs w:val="20"/>
        </w:rPr>
      </w:pPr>
    </w:p>
    <w:p w:rsidR="00B44051" w:rsidRPr="006065A7" w:rsidRDefault="006065A7" w:rsidP="00C75DAE">
      <w:pPr>
        <w:rPr>
          <w:rFonts w:cstheme="minorHAnsi"/>
          <w:b/>
          <w:sz w:val="20"/>
          <w:szCs w:val="20"/>
          <w:u w:val="single"/>
        </w:rPr>
      </w:pPr>
      <w:r w:rsidRPr="006065A7">
        <w:rPr>
          <w:rFonts w:cstheme="minorHAnsi"/>
          <w:b/>
          <w:sz w:val="20"/>
          <w:szCs w:val="20"/>
          <w:u w:val="single"/>
        </w:rPr>
        <w:t>PREGUNTA 6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51099D" w:rsidRPr="00AC2674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51099D" w:rsidRPr="00AC2674" w:rsidRDefault="0051099D" w:rsidP="00C75DAE">
            <w:pPr>
              <w:spacing w:before="100" w:beforeAutospacing="1"/>
              <w:ind w:left="237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color w:val="222222"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51099D" w:rsidRPr="00AC2674" w:rsidRDefault="0051099D" w:rsidP="00C75DAE">
            <w:pPr>
              <w:spacing w:before="100" w:beforeAutospacing="1"/>
              <w:ind w:left="2380" w:right="2367"/>
              <w:rPr>
                <w:rFonts w:cstheme="minorHAnsi"/>
                <w:color w:val="222222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color w:val="1F1F1E"/>
                <w:sz w:val="20"/>
                <w:szCs w:val="20"/>
              </w:rPr>
              <w:t>Indicadores</w:t>
            </w:r>
          </w:p>
        </w:tc>
      </w:tr>
      <w:tr w:rsidR="0051099D" w:rsidRPr="00AC2674" w:rsidTr="007027BA">
        <w:trPr>
          <w:trHeight w:val="372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099D" w:rsidRPr="00AC2674" w:rsidRDefault="00632279" w:rsidP="00C75DAE">
            <w:pPr>
              <w:pStyle w:val="TableParagraph"/>
              <w:spacing w:before="2"/>
              <w:ind w:right="403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>Considerando los aspectos procedimentales y pedagógicos, e</w:t>
            </w:r>
            <w:r w:rsidR="0051099D" w:rsidRPr="00AC267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>xplique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>,</w:t>
            </w:r>
            <w:r w:rsidR="0051099D" w:rsidRPr="00AC267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>¿</w:t>
            </w:r>
            <w:r w:rsidR="0051099D" w:rsidRPr="00AC267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 xml:space="preserve">qué elementos </w:t>
            </w:r>
            <w:r w:rsidR="00117A65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 xml:space="preserve">son relevantes e imprescindibles </w:t>
            </w:r>
            <w:r w:rsidR="0051099D" w:rsidRPr="00AC267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>a la hora de formular los objetivos pedagógicos para un Plan de Estimulación de Funciones Cognitivas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es-CL" w:eastAsia="en-GB"/>
              </w:rPr>
              <w:t>?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099D" w:rsidRPr="00AC2674" w:rsidRDefault="0051099D" w:rsidP="00C61075">
            <w:pPr>
              <w:spacing w:before="100" w:beforeAutospacing="1"/>
              <w:ind w:right="123"/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</w:pP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Señala </w:t>
            </w:r>
            <w:r w:rsidR="00BA428C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elementos como </w:t>
            </w: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la </w:t>
            </w:r>
            <w:r w:rsidR="00BA428C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e</w:t>
            </w: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valuación </w:t>
            </w:r>
            <w:r w:rsidR="00BA428C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d</w:t>
            </w: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iagnóstica </w:t>
            </w:r>
            <w:r w:rsidR="00BA428C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i</w:t>
            </w: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ntegral, que incluye tanto la realización de un panorama</w:t>
            </w:r>
            <w:r w:rsidR="00BA428C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;</w:t>
            </w: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 </w:t>
            </w:r>
            <w:r w:rsidR="00BA428C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el</w:t>
            </w: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 xml:space="preserve"> análisis de facilitadores, obstaculizadores, fortalezas del curso y necesidades de aprendizaje</w:t>
            </w:r>
            <w:r w:rsidR="00BA428C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.</w:t>
            </w:r>
          </w:p>
        </w:tc>
      </w:tr>
      <w:tr w:rsidR="0051099D" w:rsidRPr="00AC2674" w:rsidTr="007027BA">
        <w:trPr>
          <w:trHeight w:val="278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099D" w:rsidRPr="00AC2674" w:rsidRDefault="0051099D" w:rsidP="00C75DAE">
            <w:pPr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099D" w:rsidRPr="00AC2674" w:rsidRDefault="0051099D" w:rsidP="00C61075">
            <w:pPr>
              <w:spacing w:before="100" w:beforeAutospacing="1"/>
              <w:ind w:right="123"/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</w:pP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Indica la importancia de las Bases Curriculares de la Educación Parvularia. Hace referencia a los ámbitos de aprendizaje, tramos y núcleos, evidenciando conocer el procedimiento de consulta de las bases.</w:t>
            </w:r>
          </w:p>
        </w:tc>
      </w:tr>
      <w:tr w:rsidR="0051099D" w:rsidRPr="00AC2674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099D" w:rsidRPr="00AC2674" w:rsidRDefault="0051099D" w:rsidP="00C75DAE">
            <w:pPr>
              <w:rPr>
                <w:rFonts w:cstheme="minorHAnsi"/>
                <w:color w:val="222222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099D" w:rsidRPr="00AC2674" w:rsidRDefault="0051099D" w:rsidP="00C75DAE">
            <w:pPr>
              <w:spacing w:before="100" w:beforeAutospacing="1" w:after="100" w:afterAutospacing="1"/>
              <w:ind w:right="123"/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</w:pPr>
            <w:r w:rsidRPr="00AC2674">
              <w:rPr>
                <w:rFonts w:eastAsia="Times New Roman" w:cstheme="minorHAnsi"/>
                <w:color w:val="222222"/>
                <w:sz w:val="20"/>
                <w:szCs w:val="20"/>
                <w:lang w:val="es-CL" w:eastAsia="en-GB"/>
              </w:rPr>
              <w:t>Menciona la incorporación de las Funciones Cognitivas, y la determinación de funciones prioritarias para el curso asignado.</w:t>
            </w:r>
          </w:p>
        </w:tc>
      </w:tr>
    </w:tbl>
    <w:p w:rsidR="009A44E1" w:rsidRDefault="009A44E1" w:rsidP="00C75DAE">
      <w:pPr>
        <w:rPr>
          <w:rFonts w:cstheme="minorHAnsi"/>
          <w:sz w:val="20"/>
          <w:szCs w:val="20"/>
        </w:rPr>
      </w:pPr>
    </w:p>
    <w:p w:rsidR="007D2B9D" w:rsidRDefault="007D2B9D" w:rsidP="00C75DAE">
      <w:pPr>
        <w:rPr>
          <w:rFonts w:cstheme="minorHAnsi"/>
          <w:sz w:val="20"/>
          <w:szCs w:val="20"/>
        </w:rPr>
      </w:pPr>
    </w:p>
    <w:p w:rsidR="007D2B9D" w:rsidRPr="00BA44C7" w:rsidRDefault="00BA44C7" w:rsidP="00C75DAE">
      <w:pPr>
        <w:rPr>
          <w:rFonts w:cstheme="minorHAnsi"/>
          <w:b/>
          <w:sz w:val="20"/>
          <w:szCs w:val="20"/>
          <w:u w:val="single"/>
        </w:rPr>
      </w:pPr>
      <w:r w:rsidRPr="00BA44C7">
        <w:rPr>
          <w:rFonts w:cstheme="minorHAnsi"/>
          <w:b/>
          <w:sz w:val="20"/>
          <w:szCs w:val="20"/>
          <w:u w:val="single"/>
        </w:rPr>
        <w:t>PREGUNTA 7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1C3E63" w:rsidRPr="00AC2674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Indicadores</w:t>
            </w:r>
          </w:p>
        </w:tc>
      </w:tr>
      <w:tr w:rsidR="001C3E63" w:rsidRPr="00AC2674" w:rsidTr="007027BA">
        <w:trPr>
          <w:trHeight w:val="372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sz w:val="20"/>
                <w:szCs w:val="20"/>
              </w:rPr>
              <w:t xml:space="preserve">Defina y explique </w:t>
            </w:r>
            <w:r w:rsidR="00CD4A5A">
              <w:rPr>
                <w:rFonts w:cstheme="minorHAnsi"/>
                <w:sz w:val="20"/>
                <w:szCs w:val="20"/>
              </w:rPr>
              <w:t xml:space="preserve">con apoyo bibliográfico </w:t>
            </w:r>
            <w:r w:rsidRPr="00AC2674">
              <w:rPr>
                <w:rFonts w:cstheme="minorHAnsi"/>
                <w:sz w:val="20"/>
                <w:szCs w:val="20"/>
              </w:rPr>
              <w:t>el ámbito que abarca el área de la morfosintaxis.</w:t>
            </w:r>
          </w:p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AC2674">
              <w:rPr>
                <w:rFonts w:cstheme="minorHAnsi"/>
                <w:sz w:val="20"/>
                <w:szCs w:val="20"/>
              </w:rPr>
              <w:t>Proponga una actividad que estimule el desarrollo del área señalada</w:t>
            </w:r>
            <w:r w:rsidR="00CD4A5A">
              <w:rPr>
                <w:rFonts w:cstheme="minorHAnsi"/>
                <w:sz w:val="20"/>
                <w:szCs w:val="20"/>
              </w:rPr>
              <w:t xml:space="preserve"> en el contexto de Escuela Especial de Lenguaje.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</w:rPr>
              <w:t xml:space="preserve">Realiza una definición adecuada del área de la morfosintaxis, señalando </w:t>
            </w:r>
            <w:r w:rsidR="00CD4A5A">
              <w:rPr>
                <w:rFonts w:cstheme="minorHAnsi"/>
                <w:sz w:val="20"/>
                <w:szCs w:val="20"/>
              </w:rPr>
              <w:t xml:space="preserve">al menos </w:t>
            </w:r>
            <w:r w:rsidRPr="00AC2674">
              <w:rPr>
                <w:rFonts w:cstheme="minorHAnsi"/>
                <w:sz w:val="20"/>
                <w:szCs w:val="20"/>
              </w:rPr>
              <w:t>una cita bibliográfica que respalde la explicación entregada.</w:t>
            </w:r>
          </w:p>
        </w:tc>
      </w:tr>
      <w:tr w:rsidR="001C3E63" w:rsidRPr="00AC2674" w:rsidTr="007027BA">
        <w:trPr>
          <w:trHeight w:val="278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  <w:lang w:val="es-CL"/>
              </w:rPr>
              <w:t xml:space="preserve">Ejemplifica con una actividad </w:t>
            </w:r>
            <w:r w:rsidR="009A1AE6">
              <w:rPr>
                <w:rFonts w:cstheme="minorHAnsi"/>
                <w:sz w:val="20"/>
                <w:szCs w:val="20"/>
                <w:lang w:val="es-CL"/>
              </w:rPr>
              <w:t xml:space="preserve">de forma </w:t>
            </w:r>
            <w:r w:rsidRPr="00AC2674">
              <w:rPr>
                <w:rFonts w:cstheme="minorHAnsi"/>
                <w:sz w:val="20"/>
                <w:szCs w:val="20"/>
                <w:lang w:val="es-CL"/>
              </w:rPr>
              <w:t>clara y pertinente para estimular el área descrita.</w:t>
            </w:r>
          </w:p>
        </w:tc>
      </w:tr>
      <w:tr w:rsidR="001C3E63" w:rsidRPr="00AC2674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3E63" w:rsidRPr="00AC2674" w:rsidRDefault="001C3E63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  <w:lang w:val="es-CL"/>
              </w:rPr>
              <w:t>La actividad que propone tiene coherencia y relación con el área de la morfosintaxis.</w:t>
            </w:r>
          </w:p>
        </w:tc>
      </w:tr>
    </w:tbl>
    <w:p w:rsidR="007027BA" w:rsidRDefault="007027BA" w:rsidP="00C75DAE">
      <w:pPr>
        <w:rPr>
          <w:rFonts w:cstheme="minorHAnsi"/>
          <w:sz w:val="20"/>
          <w:szCs w:val="20"/>
        </w:rPr>
      </w:pPr>
    </w:p>
    <w:p w:rsidR="007027BA" w:rsidRPr="008A0DBD" w:rsidRDefault="008A0DBD" w:rsidP="00C75DAE">
      <w:pPr>
        <w:rPr>
          <w:rFonts w:cstheme="minorHAnsi"/>
          <w:b/>
          <w:szCs w:val="20"/>
          <w:u w:val="single"/>
        </w:rPr>
      </w:pPr>
      <w:r>
        <w:rPr>
          <w:rFonts w:cstheme="minorHAnsi"/>
          <w:b/>
          <w:szCs w:val="20"/>
          <w:u w:val="single"/>
        </w:rPr>
        <w:t>PREGUNTA 8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0D6A41" w:rsidRPr="00AC2674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Indicadores</w:t>
            </w:r>
          </w:p>
        </w:tc>
      </w:tr>
      <w:tr w:rsidR="000D6A41" w:rsidRPr="00AC2674" w:rsidTr="00652D66">
        <w:trPr>
          <w:trHeight w:val="754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6A41" w:rsidRPr="00AC2674" w:rsidRDefault="000D6A41" w:rsidP="00C75DAE">
            <w:pPr>
              <w:pStyle w:val="TableParagraph"/>
              <w:spacing w:before="2"/>
              <w:ind w:right="119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En relación a la percepción háptica, podemos trabajar la modalidad táctil y la modalidad kinestésica. En base a lo anterior</w:t>
            </w:r>
            <w:r w:rsidR="00652D66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,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defin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a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cada uno de 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est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os conceptos 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y 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expli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que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cómo influyen en el desarrollo del lenguaje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.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E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jempl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ifique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</w:t>
            </w:r>
            <w:r w:rsidR="00866C3A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cada una de </w:t>
            </w:r>
            <w:r w:rsidR="00E84275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sus definiciones con 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una actividad 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donde se observe el desarrollo 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tanto de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modalidad táctil</w:t>
            </w:r>
            <w:r w:rsidR="00606EEE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 xml:space="preserve"> como </w:t>
            </w:r>
            <w:r w:rsidRPr="00AC2674">
              <w:rPr>
                <w:rFonts w:asciiTheme="minorHAnsi" w:hAnsiTheme="minorHAnsi" w:cstheme="minorHAnsi"/>
                <w:color w:val="1F1F1E"/>
                <w:sz w:val="20"/>
                <w:szCs w:val="20"/>
              </w:rPr>
              <w:t>kinestésica.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</w:rPr>
              <w:t>Define</w:t>
            </w:r>
            <w:r w:rsidR="005413ED">
              <w:rPr>
                <w:rFonts w:cstheme="minorHAnsi"/>
                <w:sz w:val="20"/>
                <w:szCs w:val="20"/>
              </w:rPr>
              <w:t xml:space="preserve"> </w:t>
            </w:r>
            <w:r w:rsidRPr="00AC2674">
              <w:rPr>
                <w:rFonts w:cstheme="minorHAnsi"/>
                <w:sz w:val="20"/>
                <w:szCs w:val="20"/>
              </w:rPr>
              <w:t xml:space="preserve">la percepción háptica y sus modalidades táctil y kinestésica y </w:t>
            </w:r>
            <w:r w:rsidR="005413ED">
              <w:rPr>
                <w:rFonts w:cstheme="minorHAnsi"/>
                <w:sz w:val="20"/>
                <w:szCs w:val="20"/>
              </w:rPr>
              <w:t xml:space="preserve">explica </w:t>
            </w:r>
            <w:r w:rsidRPr="00AC2674">
              <w:rPr>
                <w:rFonts w:cstheme="minorHAnsi"/>
                <w:sz w:val="20"/>
                <w:szCs w:val="20"/>
              </w:rPr>
              <w:t>cómo influyen en el desarrollo del lenguaje</w:t>
            </w:r>
            <w:r w:rsidR="005413E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D6A41" w:rsidRPr="00AC2674" w:rsidTr="00C13DCD">
        <w:trPr>
          <w:trHeight w:val="539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6A41" w:rsidRPr="00AC2674" w:rsidRDefault="005413ED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>
              <w:rPr>
                <w:rFonts w:cstheme="minorHAnsi"/>
                <w:color w:val="1F1F1E"/>
                <w:sz w:val="20"/>
                <w:szCs w:val="20"/>
              </w:rPr>
              <w:t>E</w:t>
            </w:r>
            <w:r w:rsidR="000D6A41" w:rsidRPr="00AC2674">
              <w:rPr>
                <w:rFonts w:cstheme="minorHAnsi"/>
                <w:color w:val="1F1F1E"/>
                <w:sz w:val="20"/>
                <w:szCs w:val="20"/>
              </w:rPr>
              <w:t>jempl</w:t>
            </w:r>
            <w:r>
              <w:rPr>
                <w:rFonts w:cstheme="minorHAnsi"/>
                <w:color w:val="1F1F1E"/>
                <w:sz w:val="20"/>
                <w:szCs w:val="20"/>
              </w:rPr>
              <w:t>ifica</w:t>
            </w:r>
            <w:r w:rsidR="000D6A41" w:rsidRPr="00AC2674">
              <w:rPr>
                <w:rFonts w:cstheme="minorHAnsi"/>
                <w:color w:val="1F1F1E"/>
                <w:sz w:val="20"/>
                <w:szCs w:val="20"/>
              </w:rPr>
              <w:t xml:space="preserve"> el desarrollo de </w:t>
            </w:r>
            <w:r>
              <w:rPr>
                <w:rFonts w:cstheme="minorHAnsi"/>
                <w:color w:val="1F1F1E"/>
                <w:sz w:val="20"/>
                <w:szCs w:val="20"/>
              </w:rPr>
              <w:t xml:space="preserve">ambas </w:t>
            </w:r>
            <w:r w:rsidR="000D6A41" w:rsidRPr="00AC2674">
              <w:rPr>
                <w:rFonts w:cstheme="minorHAnsi"/>
                <w:color w:val="1F1F1E"/>
                <w:sz w:val="20"/>
                <w:szCs w:val="20"/>
              </w:rPr>
              <w:t>modalidad</w:t>
            </w:r>
            <w:r>
              <w:rPr>
                <w:rFonts w:cstheme="minorHAnsi"/>
                <w:color w:val="1F1F1E"/>
                <w:sz w:val="20"/>
                <w:szCs w:val="20"/>
              </w:rPr>
              <w:t>es</w:t>
            </w:r>
            <w:r w:rsidR="000D6A41" w:rsidRPr="00AC2674">
              <w:rPr>
                <w:rFonts w:cstheme="minorHAnsi"/>
                <w:color w:val="1F1F1E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1F1F1E"/>
                <w:sz w:val="20"/>
                <w:szCs w:val="20"/>
              </w:rPr>
              <w:t>de manera atingente a su defin</w:t>
            </w:r>
            <w:r w:rsidR="00131C8D">
              <w:rPr>
                <w:rFonts w:cstheme="minorHAnsi"/>
                <w:color w:val="1F1F1E"/>
                <w:sz w:val="20"/>
                <w:szCs w:val="20"/>
              </w:rPr>
              <w:t>ición</w:t>
            </w:r>
            <w:r w:rsidR="000D6A41" w:rsidRPr="00AC267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D6A41" w:rsidRPr="00AC2674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</w:rPr>
              <w:t>La respuesta elaborada es atingente y coherente respecto al contenido solicitado.</w:t>
            </w:r>
          </w:p>
        </w:tc>
      </w:tr>
    </w:tbl>
    <w:p w:rsidR="003620AC" w:rsidRDefault="003620AC" w:rsidP="00C75DAE">
      <w:pPr>
        <w:rPr>
          <w:rFonts w:cstheme="minorHAnsi"/>
          <w:sz w:val="20"/>
          <w:szCs w:val="20"/>
        </w:rPr>
      </w:pPr>
    </w:p>
    <w:p w:rsidR="008A0DBD" w:rsidRDefault="008A0DBD" w:rsidP="00C75DAE">
      <w:pPr>
        <w:rPr>
          <w:rFonts w:cstheme="minorHAnsi"/>
          <w:sz w:val="20"/>
          <w:szCs w:val="20"/>
        </w:rPr>
      </w:pPr>
    </w:p>
    <w:p w:rsidR="008A0DBD" w:rsidRPr="002143B0" w:rsidRDefault="002143B0" w:rsidP="00C75DAE">
      <w:pPr>
        <w:rPr>
          <w:rFonts w:cstheme="minorHAnsi"/>
          <w:b/>
          <w:sz w:val="22"/>
          <w:szCs w:val="20"/>
          <w:u w:val="single"/>
        </w:rPr>
      </w:pPr>
      <w:r w:rsidRPr="002143B0">
        <w:rPr>
          <w:rFonts w:cstheme="minorHAnsi"/>
          <w:b/>
          <w:sz w:val="22"/>
          <w:szCs w:val="20"/>
          <w:u w:val="single"/>
        </w:rPr>
        <w:lastRenderedPageBreak/>
        <w:t>PREGUNTA 9</w:t>
      </w:r>
    </w:p>
    <w:tbl>
      <w:tblPr>
        <w:tblW w:w="12288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0D6A41" w:rsidRPr="00AC2674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</w:rPr>
            </w:pPr>
            <w:r w:rsidRPr="00AC2674">
              <w:rPr>
                <w:rFonts w:cstheme="minorHAnsi"/>
                <w:b/>
                <w:bCs/>
                <w:sz w:val="20"/>
                <w:szCs w:val="20"/>
              </w:rPr>
              <w:t>Indicadores</w:t>
            </w:r>
          </w:p>
        </w:tc>
      </w:tr>
      <w:tr w:rsidR="000D6A41" w:rsidRPr="00AC2674" w:rsidTr="007027BA">
        <w:trPr>
          <w:trHeight w:val="372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6A41" w:rsidRPr="00AC2674" w:rsidRDefault="000D6A41" w:rsidP="00C75DAE">
            <w:pPr>
              <w:pStyle w:val="TableParagraph"/>
              <w:spacing w:before="2"/>
              <w:ind w:right="119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 xml:space="preserve">Defina y argumente la función y pertinencia de las Bases </w:t>
            </w:r>
            <w:r w:rsidR="003620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 xml:space="preserve">urriculares de Educación Parvularia, con el trabajo que se realiza en las Escuelas </w:t>
            </w:r>
            <w:r w:rsidR="00223BF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>speciales de Lenguaje. Demuestre</w:t>
            </w:r>
            <w:r w:rsidR="00223BF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>a partir de un ejemplo</w:t>
            </w:r>
            <w:r w:rsidR="00223BF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 xml:space="preserve">alguno de los principios que sustentan </w:t>
            </w:r>
            <w:r w:rsidR="00223BF2">
              <w:rPr>
                <w:rFonts w:asciiTheme="minorHAnsi" w:hAnsiTheme="minorHAnsi" w:cstheme="minorHAnsi"/>
                <w:sz w:val="20"/>
                <w:szCs w:val="20"/>
              </w:rPr>
              <w:t>dichas Bases</w:t>
            </w:r>
            <w:r w:rsidRPr="00AC2674">
              <w:rPr>
                <w:rFonts w:asciiTheme="minorHAnsi" w:hAnsiTheme="minorHAnsi" w:cstheme="minorHAnsi"/>
                <w:sz w:val="20"/>
                <w:szCs w:val="20"/>
              </w:rPr>
              <w:t xml:space="preserve"> observado en la labor realizada</w:t>
            </w:r>
            <w:r w:rsidR="00223BF2">
              <w:rPr>
                <w:rFonts w:asciiTheme="minorHAnsi" w:hAnsiTheme="minorHAnsi" w:cstheme="minorHAnsi"/>
                <w:sz w:val="20"/>
                <w:szCs w:val="20"/>
              </w:rPr>
              <w:t xml:space="preserve"> en estas escuelas.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  <w:lang w:val="es-ES"/>
              </w:rPr>
              <w:t>Define de forma adecuada la función de las Bases curriculares de Educación Parvularia en el trabajo realizado en Escuelas de Lenguaje.</w:t>
            </w:r>
          </w:p>
        </w:tc>
      </w:tr>
      <w:tr w:rsidR="000D6A41" w:rsidRPr="00AC2674" w:rsidTr="007027BA">
        <w:trPr>
          <w:trHeight w:val="278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bCs/>
                <w:sz w:val="20"/>
                <w:szCs w:val="20"/>
                <w:lang w:val="es-ES"/>
              </w:rPr>
              <w:t>Argumenta sobre la pertinencia de las Bases curriculares de Educación Parvularia en el trabajo realizado en las Escuelas de Lenguaje.</w:t>
            </w:r>
          </w:p>
        </w:tc>
      </w:tr>
      <w:tr w:rsidR="000D6A41" w:rsidRPr="00AC2674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6A41" w:rsidRPr="00AC2674" w:rsidRDefault="000D6A41" w:rsidP="00C75DAE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AC2674">
              <w:rPr>
                <w:rFonts w:cstheme="minorHAnsi"/>
                <w:sz w:val="20"/>
                <w:szCs w:val="20"/>
                <w:lang w:val="es-ES"/>
              </w:rPr>
              <w:t>Demuestra mediante ejemplo un principio pedagógico de las BCEP observado en la labor que realizan las escuelas de lenguaje.</w:t>
            </w:r>
          </w:p>
        </w:tc>
      </w:tr>
    </w:tbl>
    <w:p w:rsidR="005B3359" w:rsidRDefault="005B3359" w:rsidP="00C75DAE">
      <w:pPr>
        <w:rPr>
          <w:rFonts w:cstheme="minorHAnsi"/>
          <w:sz w:val="20"/>
          <w:szCs w:val="20"/>
        </w:rPr>
      </w:pPr>
    </w:p>
    <w:p w:rsidR="002143B0" w:rsidRPr="008F1728" w:rsidRDefault="008F1728" w:rsidP="00C75DAE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PREGUNTA 10</w:t>
      </w:r>
    </w:p>
    <w:tbl>
      <w:tblPr>
        <w:tblW w:w="12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8128"/>
      </w:tblGrid>
      <w:tr w:rsidR="008620BF" w:rsidRPr="008620BF" w:rsidTr="007027BA">
        <w:trPr>
          <w:trHeight w:val="282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620BF" w:rsidRPr="008620BF" w:rsidRDefault="008620BF" w:rsidP="007027BA">
            <w:pPr>
              <w:rPr>
                <w:rFonts w:cstheme="minorHAnsi"/>
                <w:sz w:val="20"/>
                <w:szCs w:val="20"/>
              </w:rPr>
            </w:pPr>
            <w:r w:rsidRPr="008620BF">
              <w:rPr>
                <w:rFonts w:cstheme="minorHAnsi"/>
                <w:b/>
                <w:bCs/>
                <w:sz w:val="20"/>
                <w:szCs w:val="20"/>
              </w:rPr>
              <w:t>Ítem Examen</w:t>
            </w:r>
          </w:p>
        </w:tc>
        <w:tc>
          <w:tcPr>
            <w:tcW w:w="8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620BF" w:rsidRPr="008620BF" w:rsidRDefault="008620BF" w:rsidP="007027BA">
            <w:pPr>
              <w:rPr>
                <w:rFonts w:cstheme="minorHAnsi"/>
                <w:sz w:val="20"/>
                <w:szCs w:val="20"/>
              </w:rPr>
            </w:pPr>
            <w:r w:rsidRPr="008620BF">
              <w:rPr>
                <w:rFonts w:cstheme="minorHAnsi"/>
                <w:b/>
                <w:bCs/>
                <w:sz w:val="20"/>
                <w:szCs w:val="20"/>
              </w:rPr>
              <w:t>Indicadores</w:t>
            </w:r>
          </w:p>
        </w:tc>
      </w:tr>
      <w:tr w:rsidR="008620BF" w:rsidRPr="008620BF" w:rsidTr="007027BA">
        <w:trPr>
          <w:trHeight w:val="372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20BF" w:rsidRPr="008620BF" w:rsidRDefault="008620BF" w:rsidP="008620BF">
            <w:pPr>
              <w:pStyle w:val="TableParagraph"/>
              <w:spacing w:before="2"/>
              <w:ind w:right="119"/>
              <w:rPr>
                <w:rFonts w:asciiTheme="minorHAnsi" w:hAnsiTheme="minorHAnsi" w:cstheme="minorHAnsi"/>
                <w:color w:val="1F1F1E"/>
                <w:sz w:val="20"/>
                <w:szCs w:val="20"/>
              </w:rPr>
            </w:pPr>
            <w:r w:rsidRPr="008620B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En lo establecido en el decreto 1300, el proceso pedagógico para los alumnos con trastorno específico del lenguaje se debe regir por normas de ingreso y egreso. Describe cada una de ellas.</w:t>
            </w: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20BF" w:rsidRPr="008620BF" w:rsidRDefault="008620BF" w:rsidP="008620BF">
            <w:pPr>
              <w:ind w:right="123"/>
              <w:rPr>
                <w:rFonts w:eastAsiaTheme="minorHAnsi" w:cstheme="minorHAnsi"/>
                <w:lang w:val="es-CL"/>
              </w:rPr>
            </w:pPr>
            <w:r w:rsidRPr="008620BF">
              <w:rPr>
                <w:rFonts w:cstheme="minorHAnsi"/>
                <w:sz w:val="20"/>
                <w:szCs w:val="20"/>
              </w:rPr>
              <w:t xml:space="preserve">Menciona al menos tres normas de ingreso para una escuela especial de lenguaje según decreto 1300 </w:t>
            </w:r>
          </w:p>
        </w:tc>
      </w:tr>
      <w:tr w:rsidR="008620BF" w:rsidRPr="008620BF" w:rsidTr="007027BA">
        <w:trPr>
          <w:trHeight w:val="278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20BF" w:rsidRPr="008620BF" w:rsidRDefault="008620BF" w:rsidP="008620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20BF" w:rsidRPr="008620BF" w:rsidRDefault="008620BF" w:rsidP="008620BF">
            <w:pPr>
              <w:ind w:right="123"/>
              <w:rPr>
                <w:rFonts w:cstheme="minorHAnsi"/>
              </w:rPr>
            </w:pPr>
            <w:r w:rsidRPr="008620BF">
              <w:rPr>
                <w:rFonts w:cstheme="minorHAnsi"/>
                <w:sz w:val="20"/>
                <w:szCs w:val="20"/>
              </w:rPr>
              <w:t>Menciona al menos tres normas de egreso para una escuela especial de lenguaje según decreto 1300</w:t>
            </w:r>
          </w:p>
        </w:tc>
      </w:tr>
      <w:tr w:rsidR="008620BF" w:rsidRPr="008620BF" w:rsidTr="007027BA">
        <w:trPr>
          <w:trHeight w:val="254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20BF" w:rsidRPr="008620BF" w:rsidRDefault="008620BF" w:rsidP="008620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620BF" w:rsidRPr="008620BF" w:rsidRDefault="008620BF" w:rsidP="008620BF">
            <w:pPr>
              <w:ind w:right="123"/>
              <w:rPr>
                <w:rFonts w:cstheme="minorHAnsi"/>
              </w:rPr>
            </w:pPr>
            <w:r w:rsidRPr="008620BF">
              <w:rPr>
                <w:rFonts w:cstheme="minorHAnsi"/>
                <w:sz w:val="20"/>
                <w:szCs w:val="20"/>
              </w:rPr>
              <w:t>La respuesta elaborada es atingente y coherente respecto al contenido solicitado</w:t>
            </w:r>
          </w:p>
        </w:tc>
      </w:tr>
    </w:tbl>
    <w:p w:rsidR="00914CF8" w:rsidRPr="00914CF8" w:rsidRDefault="00914CF8" w:rsidP="00AC75A7">
      <w:pPr>
        <w:rPr>
          <w:rFonts w:cstheme="minorHAnsi"/>
          <w:sz w:val="20"/>
          <w:szCs w:val="20"/>
        </w:rPr>
      </w:pPr>
    </w:p>
    <w:sectPr w:rsidR="00914CF8" w:rsidRPr="00914CF8" w:rsidSect="00EF196A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A03" w:rsidRDefault="00A41A03" w:rsidP="000D6A41">
      <w:r>
        <w:separator/>
      </w:r>
    </w:p>
  </w:endnote>
  <w:endnote w:type="continuationSeparator" w:id="0">
    <w:p w:rsidR="00A41A03" w:rsidRDefault="00A41A03" w:rsidP="000D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A03" w:rsidRDefault="00A41A03" w:rsidP="000D6A41">
      <w:r>
        <w:separator/>
      </w:r>
    </w:p>
  </w:footnote>
  <w:footnote w:type="continuationSeparator" w:id="0">
    <w:p w:rsidR="00A41A03" w:rsidRDefault="00A41A03" w:rsidP="000D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2CDC"/>
    <w:multiLevelType w:val="hybridMultilevel"/>
    <w:tmpl w:val="66B0EE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5346E"/>
    <w:multiLevelType w:val="hybridMultilevel"/>
    <w:tmpl w:val="5EC89E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6A"/>
    <w:rsid w:val="000708C6"/>
    <w:rsid w:val="000D2B64"/>
    <w:rsid w:val="000D6A41"/>
    <w:rsid w:val="000E54E4"/>
    <w:rsid w:val="00117A65"/>
    <w:rsid w:val="00131C8D"/>
    <w:rsid w:val="001632FF"/>
    <w:rsid w:val="00174DDF"/>
    <w:rsid w:val="001A2DCC"/>
    <w:rsid w:val="001C3E63"/>
    <w:rsid w:val="002143B0"/>
    <w:rsid w:val="00223BF2"/>
    <w:rsid w:val="00233A25"/>
    <w:rsid w:val="00244160"/>
    <w:rsid w:val="00252B21"/>
    <w:rsid w:val="002A4245"/>
    <w:rsid w:val="002F1A50"/>
    <w:rsid w:val="003216EF"/>
    <w:rsid w:val="00331356"/>
    <w:rsid w:val="003528A2"/>
    <w:rsid w:val="00357CDD"/>
    <w:rsid w:val="003620AC"/>
    <w:rsid w:val="003A22F6"/>
    <w:rsid w:val="003C05C6"/>
    <w:rsid w:val="003C10EC"/>
    <w:rsid w:val="00476EC0"/>
    <w:rsid w:val="004F517C"/>
    <w:rsid w:val="0051099D"/>
    <w:rsid w:val="00520F67"/>
    <w:rsid w:val="005413ED"/>
    <w:rsid w:val="00582E0C"/>
    <w:rsid w:val="005A7313"/>
    <w:rsid w:val="005B3359"/>
    <w:rsid w:val="005B5845"/>
    <w:rsid w:val="006065A7"/>
    <w:rsid w:val="00606EEE"/>
    <w:rsid w:val="00617513"/>
    <w:rsid w:val="00632279"/>
    <w:rsid w:val="0065241B"/>
    <w:rsid w:val="00652D66"/>
    <w:rsid w:val="006A1354"/>
    <w:rsid w:val="006F7813"/>
    <w:rsid w:val="007027BA"/>
    <w:rsid w:val="00771BA6"/>
    <w:rsid w:val="00797EF2"/>
    <w:rsid w:val="007D2B9D"/>
    <w:rsid w:val="007F5262"/>
    <w:rsid w:val="008311C5"/>
    <w:rsid w:val="00834C6D"/>
    <w:rsid w:val="00857D09"/>
    <w:rsid w:val="008620BF"/>
    <w:rsid w:val="00866C3A"/>
    <w:rsid w:val="008928BF"/>
    <w:rsid w:val="008A0DBD"/>
    <w:rsid w:val="008C44A7"/>
    <w:rsid w:val="008F1728"/>
    <w:rsid w:val="00900F2E"/>
    <w:rsid w:val="00914CF8"/>
    <w:rsid w:val="009A1AE6"/>
    <w:rsid w:val="009A44E1"/>
    <w:rsid w:val="009C3CCE"/>
    <w:rsid w:val="009D085A"/>
    <w:rsid w:val="009D7CDF"/>
    <w:rsid w:val="00A00250"/>
    <w:rsid w:val="00A41A03"/>
    <w:rsid w:val="00AA6F3E"/>
    <w:rsid w:val="00AB0649"/>
    <w:rsid w:val="00AB0933"/>
    <w:rsid w:val="00AC2674"/>
    <w:rsid w:val="00AC75A7"/>
    <w:rsid w:val="00B029BB"/>
    <w:rsid w:val="00B44051"/>
    <w:rsid w:val="00B53F13"/>
    <w:rsid w:val="00B65B0A"/>
    <w:rsid w:val="00B7102C"/>
    <w:rsid w:val="00BA428C"/>
    <w:rsid w:val="00BA44C7"/>
    <w:rsid w:val="00C10163"/>
    <w:rsid w:val="00C13DCD"/>
    <w:rsid w:val="00C61075"/>
    <w:rsid w:val="00C75DAE"/>
    <w:rsid w:val="00C84811"/>
    <w:rsid w:val="00C95F11"/>
    <w:rsid w:val="00CD223C"/>
    <w:rsid w:val="00CD4A5A"/>
    <w:rsid w:val="00CF1B17"/>
    <w:rsid w:val="00DF1F6E"/>
    <w:rsid w:val="00DF6407"/>
    <w:rsid w:val="00E02065"/>
    <w:rsid w:val="00E21625"/>
    <w:rsid w:val="00E44B29"/>
    <w:rsid w:val="00E56999"/>
    <w:rsid w:val="00E84275"/>
    <w:rsid w:val="00E97DD5"/>
    <w:rsid w:val="00ED006D"/>
    <w:rsid w:val="00ED4996"/>
    <w:rsid w:val="00EE1D34"/>
    <w:rsid w:val="00EF196A"/>
    <w:rsid w:val="00F2678D"/>
    <w:rsid w:val="00F82802"/>
    <w:rsid w:val="00F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D67F"/>
  <w15:docId w15:val="{49E66987-0F85-49EB-BE05-17AE3C60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9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F781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A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D6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A4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D6A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A41"/>
    <w:rPr>
      <w:rFonts w:eastAsiaTheme="minorEastAs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E5699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F78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L"/>
    </w:rPr>
  </w:style>
  <w:style w:type="paragraph" w:styleId="Bibliografa">
    <w:name w:val="Bibliography"/>
    <w:basedOn w:val="Normal"/>
    <w:next w:val="Normal"/>
    <w:uiPriority w:val="37"/>
    <w:unhideWhenUsed/>
    <w:rsid w:val="006F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mis10</b:Tag>
    <b:SourceType>DocumentFromInternetSite</b:SourceType>
    <b:Guid>{7C2933EE-0CC2-4914-84DE-F4E39842F677}</b:Guid>
    <b:Author>
      <b:Author>
        <b:NameList>
          <b:Person>
            <b:Last>educación</b:Last>
            <b:First>misterio</b:First>
            <b:Middle>de</b:Middle>
          </b:Person>
        </b:NameList>
      </b:Author>
    </b:Author>
    <b:Year>2010</b:Year>
    <b:Month>abril</b:Month>
    <b:Day>21</b:Day>
    <b:URL>https://www.leychile.cl/N?i=206596&amp;f=2010-04-21&amp;p=</b:URL>
    <b:RefOrder>2</b:RefOrder>
  </b:Source>
  <b:Source>
    <b:Tag>Cas12</b:Tag>
    <b:SourceType>BookSection</b:SourceType>
    <b:Guid>{816AC842-9182-4955-90A8-DA7FD1662334}</b:Guid>
    <b:Author>
      <b:BookAuthor>
        <b:NameList>
          <b:Person>
            <b:Last>Mabel Giammatteo</b:Last>
            <b:First>Laura</b:First>
            <b:Middle>Ferrari e Hilda Albano</b:Middle>
          </b:Person>
        </b:NameList>
      </b:BookAuthor>
    </b:Author>
    <b:Year>2012</b:Year>
    <b:URL>https://www.researchgate.net/profile/Victor_Castel/publication/275022392_Sobre_la_visibilidad_de_significados_y_mensajes_en_la_relacion_entre_lexico_y_morfosintaxis/links/552eb07c0cf2acd38cbbd5d5/Sobre-la-visibilidad-de-significados-y-mensajes-en-la-relac</b:URL>
    <b:BookTitle>Léxico y sintaxis</b:BookTitle>
    <b:Pages>161-182</b:Pages>
    <b:RefOrder>1</b:RefOrder>
  </b:Source>
  <b:Source>
    <b:Tag>Min181</b:Tag>
    <b:SourceType>DocumentFromInternetSite</b:SourceType>
    <b:Guid>{B99F2FCB-9101-4107-ADD0-C6E36E2F7204}</b:Guid>
    <b:Author>
      <b:Author>
        <b:NameList>
          <b:Person>
            <b:Last>Mineduc</b:Last>
          </b:Person>
        </b:NameList>
      </b:Author>
    </b:Author>
    <b:Title>Bases curriculares educación parvularia</b:Title>
    <b:Year>2018</b:Year>
    <b:Month>Febrero</b:Month>
    <b:RefOrder>4</b:RefOrder>
  </b:Source>
</b:Sources>
</file>

<file path=customXml/itemProps1.xml><?xml version="1.0" encoding="utf-8"?>
<ds:datastoreItem xmlns:ds="http://schemas.openxmlformats.org/officeDocument/2006/customXml" ds:itemID="{0E0C6551-B2C9-4BB6-8F4B-6F5EFB18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17098</TotalTime>
  <Pages>4</Pages>
  <Words>1147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Richard Arriagada Campos</dc:creator>
  <cp:lastModifiedBy>Bárbara Isabel</cp:lastModifiedBy>
  <cp:revision>8</cp:revision>
  <dcterms:created xsi:type="dcterms:W3CDTF">2020-07-08T18:45:00Z</dcterms:created>
  <dcterms:modified xsi:type="dcterms:W3CDTF">2020-07-23T19:54:00Z</dcterms:modified>
</cp:coreProperties>
</file>